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9F3" w:rsidRDefault="00D869F3" w:rsidP="00D869F3">
      <w:pPr>
        <w:ind w:left="5040" w:firstLine="720"/>
      </w:pPr>
      <w:bookmarkStart w:id="0" w:name="_GoBack"/>
      <w:bookmarkEnd w:id="0"/>
      <w:r>
        <w:rPr>
          <w:noProof/>
          <w:lang w:eastAsia="en-AU"/>
        </w:rPr>
        <w:drawing>
          <wp:inline distT="0" distB="0" distL="0" distR="0" wp14:anchorId="64C47EE1">
            <wp:extent cx="2566670" cy="7251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6670" cy="725170"/>
                    </a:xfrm>
                    <a:prstGeom prst="rect">
                      <a:avLst/>
                    </a:prstGeom>
                    <a:noFill/>
                  </pic:spPr>
                </pic:pic>
              </a:graphicData>
            </a:graphic>
          </wp:inline>
        </w:drawing>
      </w:r>
    </w:p>
    <w:p w:rsidR="00D869F3" w:rsidRDefault="00D869F3">
      <w:pPr>
        <w:rPr>
          <w:b/>
          <w:sz w:val="32"/>
          <w:szCs w:val="32"/>
        </w:rPr>
      </w:pPr>
      <w:r w:rsidRPr="00EC2AF4">
        <w:rPr>
          <w:b/>
          <w:sz w:val="32"/>
          <w:szCs w:val="32"/>
        </w:rPr>
        <w:t>Plain English Guide for Participant Communication</w:t>
      </w:r>
    </w:p>
    <w:p w:rsidR="000F7766" w:rsidRPr="00EC2AF4" w:rsidRDefault="000F7766">
      <w:pPr>
        <w:rPr>
          <w:b/>
          <w:sz w:val="32"/>
          <w:szCs w:val="32"/>
        </w:rPr>
      </w:pPr>
      <w:r>
        <w:rPr>
          <w:b/>
          <w:sz w:val="32"/>
          <w:szCs w:val="32"/>
        </w:rPr>
        <w:t>(Medical Terminology and General Language)</w:t>
      </w:r>
    </w:p>
    <w:p w:rsidR="00D869F3" w:rsidRDefault="00D869F3"/>
    <w:p w:rsidR="00D869F3" w:rsidRPr="00EC2AF4" w:rsidRDefault="000F7766">
      <w:pPr>
        <w:rPr>
          <w:b/>
          <w:sz w:val="28"/>
          <w:szCs w:val="28"/>
        </w:rPr>
      </w:pPr>
      <w:r>
        <w:rPr>
          <w:b/>
          <w:sz w:val="28"/>
          <w:szCs w:val="28"/>
        </w:rPr>
        <w:t>Preface</w:t>
      </w:r>
    </w:p>
    <w:p w:rsidR="00634A5F" w:rsidRDefault="004B1FE9">
      <w:r>
        <w:t>The Australian Bureau of Statistic states that l</w:t>
      </w:r>
      <w:r w:rsidR="00D869F3" w:rsidRPr="00D869F3">
        <w:t xml:space="preserve">iteracy skills are becoming increasingly important in contemporary Australian society. In 2006, just over half of Australians aged 15-74 years had adequate or better prose (54%) and document (53%) literacy skills. Although these rates are slightly higher than those in 1996 they still represent a high proportion of people who may be at a disadvantage in finding employment, completing documents and performing other tasks. </w:t>
      </w:r>
    </w:p>
    <w:p w:rsidR="00D869F3" w:rsidRDefault="00D869F3">
      <w:pPr>
        <w:rPr>
          <w:vertAlign w:val="superscript"/>
        </w:rPr>
      </w:pPr>
      <w:r w:rsidRPr="00D869F3">
        <w:t>Good literacy is an essential skill for coping with the many demands of life in contemporary Australian society. Tasks ranging from reading the directions on a bottle of medicine, completing a tax return, or accessing information on the Internet, all require a reasonably high level of English literacy. People who are unable to complete such tasks independently are at a considerable disadvantage.</w:t>
      </w:r>
      <w:r w:rsidR="004B1FE9">
        <w:t xml:space="preserve"> </w:t>
      </w:r>
      <w:r w:rsidR="00C31AD2" w:rsidRPr="00C31AD2">
        <w:rPr>
          <w:vertAlign w:val="superscript"/>
        </w:rPr>
        <w:t>1</w:t>
      </w:r>
    </w:p>
    <w:p w:rsidR="000F5CCF" w:rsidRDefault="000F5CCF" w:rsidP="000F5CCF">
      <w:r w:rsidRPr="00491639">
        <w:t>Please note, the recommended reading level for patient information is grade 6, or 11–12 years old (Ennis L, Wykes T. Sense and readability: participant information sheets for research studies. </w:t>
      </w:r>
      <w:r w:rsidRPr="00491639">
        <w:rPr>
          <w:i/>
          <w:iCs/>
        </w:rPr>
        <w:t>Br J Psychiatry</w:t>
      </w:r>
      <w:r w:rsidRPr="00491639">
        <w:t xml:space="preserve">. 2016;208(2):189–194. doi:10.1192/bjp.bp.114.156687). </w:t>
      </w:r>
      <w:r>
        <w:t xml:space="preserve">This is particularly important for patient facing material such as the Participant Information Sheet and Consent Form (PISCF). </w:t>
      </w:r>
    </w:p>
    <w:p w:rsidR="000F5CCF" w:rsidRPr="00491639" w:rsidRDefault="000F5CCF" w:rsidP="000F5CCF">
      <w:r w:rsidRPr="00491639">
        <w:t xml:space="preserve">A readability assessment can be performed on the PISCF using MS Word.  Please see the </w:t>
      </w:r>
      <w:hyperlink r:id="rId6" w:history="1">
        <w:r w:rsidRPr="00491639">
          <w:rPr>
            <w:rStyle w:val="Hyperlink"/>
          </w:rPr>
          <w:t>Microsoft Office website</w:t>
        </w:r>
      </w:hyperlink>
      <w:r w:rsidRPr="00491639">
        <w:t xml:space="preserve"> for further information on the Readability Function and further definitions of the scores. The MS Office </w:t>
      </w:r>
      <w:hyperlink r:id="rId7" w:history="1">
        <w:r w:rsidRPr="00491639">
          <w:rPr>
            <w:rStyle w:val="Hyperlink"/>
          </w:rPr>
          <w:t>Flesch Reading Ease test score target is: 60-70.</w:t>
        </w:r>
      </w:hyperlink>
      <w:r w:rsidRPr="00491639">
        <w:t xml:space="preserve"> This test rates text on a 100-point scale. The higher the score, the easier it is to understand the document. This is a guide only. </w:t>
      </w:r>
    </w:p>
    <w:p w:rsidR="00D869F3" w:rsidRPr="00EC2AF4" w:rsidRDefault="00D869F3">
      <w:pPr>
        <w:rPr>
          <w:b/>
          <w:sz w:val="28"/>
          <w:szCs w:val="28"/>
        </w:rPr>
      </w:pPr>
      <w:r w:rsidRPr="00EC2AF4">
        <w:rPr>
          <w:b/>
          <w:sz w:val="28"/>
          <w:szCs w:val="28"/>
        </w:rPr>
        <w:t>Plain Language</w:t>
      </w:r>
    </w:p>
    <w:p w:rsidR="00D869F3" w:rsidRDefault="00D869F3">
      <w:r>
        <w:t>The definition of Plain L</w:t>
      </w:r>
      <w:r w:rsidRPr="00D869F3">
        <w:t>anguage</w:t>
      </w:r>
      <w:r w:rsidR="00C31AD2">
        <w:t xml:space="preserve"> in the Collins dictionary </w:t>
      </w:r>
      <w:r w:rsidR="00C31AD2" w:rsidRPr="00C31AD2">
        <w:rPr>
          <w:vertAlign w:val="superscript"/>
        </w:rPr>
        <w:t>2</w:t>
      </w:r>
      <w:r>
        <w:t xml:space="preserve"> is ‘</w:t>
      </w:r>
      <w:r w:rsidRPr="00EC2AF4">
        <w:rPr>
          <w:i/>
        </w:rPr>
        <w:t>language that is clear and easy to understand, with no ambiguity or unnecessarily difficult words’</w:t>
      </w:r>
    </w:p>
    <w:p w:rsidR="00D869F3" w:rsidRDefault="00D869F3">
      <w:r>
        <w:t xml:space="preserve">It is also known as Plain English or Lay Language. </w:t>
      </w:r>
    </w:p>
    <w:p w:rsidR="004B1FE9" w:rsidRDefault="00EC2AF4">
      <w:r>
        <w:t>Plain L</w:t>
      </w:r>
      <w:r w:rsidR="00D869F3">
        <w:t xml:space="preserve">anguage should be written so that it is </w:t>
      </w:r>
      <w:r w:rsidR="004B1FE9">
        <w:t>easy to read, use and understand. Avoid ambiguous, overcomplicated or technical language.</w:t>
      </w:r>
    </w:p>
    <w:p w:rsidR="003B48A2" w:rsidRDefault="004B1FE9">
      <w:r>
        <w:t xml:space="preserve">When composing Information Sheets and Consent Forms ensure ease of reading for the participant through short, concise sentences or statements, the use of the Plain Language guides and being aware of your audience. </w:t>
      </w:r>
    </w:p>
    <w:p w:rsidR="004B1FE9" w:rsidRDefault="004B1FE9">
      <w:r>
        <w:t>Be aware of placement of important information</w:t>
      </w:r>
      <w:r w:rsidR="003B48A2">
        <w:t xml:space="preserve">, preferably addressing this at the beginning of your communication. </w:t>
      </w:r>
      <w:r>
        <w:t xml:space="preserve"> </w:t>
      </w:r>
    </w:p>
    <w:p w:rsidR="005C2D29" w:rsidRDefault="005C2D29" w:rsidP="00861B70"/>
    <w:tbl>
      <w:tblPr>
        <w:tblW w:w="0" w:type="auto"/>
        <w:tblBorders>
          <w:insideH w:val="single" w:sz="18" w:space="0" w:color="FFFFFF"/>
          <w:insideV w:val="single" w:sz="18" w:space="0" w:color="FFFFFF"/>
        </w:tblBorders>
        <w:tblLook w:val="04A0" w:firstRow="1" w:lastRow="0" w:firstColumn="1" w:lastColumn="0" w:noHBand="0" w:noVBand="1"/>
      </w:tblPr>
      <w:tblGrid>
        <w:gridCol w:w="4513"/>
        <w:gridCol w:w="4513"/>
      </w:tblGrid>
      <w:tr w:rsidR="005C2D29" w:rsidRPr="005651D0" w:rsidTr="005651D0">
        <w:trPr>
          <w:trHeight w:val="573"/>
        </w:trPr>
        <w:tc>
          <w:tcPr>
            <w:tcW w:w="4621" w:type="dxa"/>
            <w:shd w:val="pct20" w:color="000000" w:fill="FFFFFF"/>
          </w:tcPr>
          <w:p w:rsidR="005C2D29" w:rsidRPr="005651D0" w:rsidRDefault="005C2D2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rPr>
            </w:pPr>
            <w:r w:rsidRPr="005651D0">
              <w:rPr>
                <w:rFonts w:ascii="Arial" w:hAnsi="Arial" w:cs="Arial"/>
                <w:b/>
                <w:bCs/>
              </w:rPr>
              <w:lastRenderedPageBreak/>
              <w:t>GENERAL WORDS</w:t>
            </w:r>
          </w:p>
        </w:tc>
        <w:tc>
          <w:tcPr>
            <w:tcW w:w="4622" w:type="dxa"/>
            <w:shd w:val="pct20" w:color="000000" w:fill="FFFFFF"/>
          </w:tcPr>
          <w:p w:rsidR="005C2D29" w:rsidRPr="005651D0" w:rsidRDefault="005C2D29" w:rsidP="00AD16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rPr>
            </w:pPr>
            <w:r w:rsidRPr="005651D0">
              <w:rPr>
                <w:rFonts w:ascii="Arial" w:hAnsi="Arial" w:cs="Arial"/>
                <w:b/>
                <w:bCs/>
              </w:rPr>
              <w:t xml:space="preserve">PLAIN </w:t>
            </w:r>
            <w:r>
              <w:rPr>
                <w:rFonts w:ascii="Arial" w:hAnsi="Arial" w:cs="Arial"/>
                <w:b/>
                <w:bCs/>
              </w:rPr>
              <w:t>LANGUAGE</w:t>
            </w:r>
            <w:r w:rsidRPr="005651D0">
              <w:rPr>
                <w:rFonts w:ascii="Arial" w:hAnsi="Arial" w:cs="Arial"/>
                <w:b/>
                <w:bCs/>
              </w:rPr>
              <w:t xml:space="preserve"> ALTERNATIVE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absence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no, none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accommodation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where you live, home</w:t>
            </w:r>
          </w:p>
        </w:tc>
      </w:tr>
      <w:tr w:rsidR="005C2D29" w:rsidRPr="005651D0" w:rsidTr="00856661">
        <w:trPr>
          <w:trHeight w:val="300"/>
        </w:trPr>
        <w:tc>
          <w:tcPr>
            <w:tcW w:w="4621" w:type="dxa"/>
            <w:shd w:val="clear" w:color="auto" w:fill="E7E6E6" w:themeFill="background2"/>
            <w:noWrap/>
          </w:tcPr>
          <w:p w:rsidR="005C2D29" w:rsidRPr="005651D0" w:rsidRDefault="005C2D29" w:rsidP="005651D0">
            <w:pPr>
              <w:rPr>
                <w:rFonts w:ascii="Calibri" w:hAnsi="Calibri" w:cs="Calibri"/>
                <w:b/>
                <w:color w:val="000000"/>
                <w:lang w:eastAsia="en-AU"/>
              </w:rPr>
            </w:pPr>
          </w:p>
        </w:tc>
        <w:tc>
          <w:tcPr>
            <w:tcW w:w="4622" w:type="dxa"/>
            <w:shd w:val="clear" w:color="auto" w:fill="E7E6E6" w:themeFill="background2"/>
            <w:noWrap/>
          </w:tcPr>
          <w:p w:rsidR="005C2D29" w:rsidRPr="005651D0" w:rsidRDefault="005C2D29" w:rsidP="005651D0">
            <w:pPr>
              <w:rPr>
                <w:rFonts w:ascii="Calibri" w:hAnsi="Calibri" w:cs="Calibri"/>
                <w:color w:val="00000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accompanying</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with</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additional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extra, more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administer</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give</w:t>
            </w:r>
          </w:p>
        </w:tc>
      </w:tr>
      <w:tr w:rsidR="005C2D29" w:rsidRPr="005651D0" w:rsidTr="00856661">
        <w:trPr>
          <w:trHeight w:val="300"/>
        </w:trPr>
        <w:tc>
          <w:tcPr>
            <w:tcW w:w="4621" w:type="dxa"/>
            <w:shd w:val="clear" w:color="auto" w:fill="E7E6E6" w:themeFill="background2"/>
            <w:noWrap/>
          </w:tcPr>
          <w:p w:rsidR="005C2D29" w:rsidRPr="00856661" w:rsidRDefault="005C2D29" w:rsidP="005651D0">
            <w:pPr>
              <w:rPr>
                <w:rFonts w:ascii="Calibri" w:hAnsi="Calibri" w:cs="Calibri"/>
                <w:b/>
                <w:color w:val="000000"/>
                <w:lang w:eastAsia="en-AU"/>
              </w:rPr>
            </w:pPr>
            <w:r w:rsidRPr="00856661">
              <w:rPr>
                <w:rFonts w:ascii="Calibri" w:hAnsi="Calibri" w:cs="Calibri"/>
                <w:b/>
                <w:color w:val="000000"/>
                <w:lang w:eastAsia="en-AU"/>
              </w:rPr>
              <w:t>advance knowledge</w:t>
            </w:r>
          </w:p>
        </w:tc>
        <w:tc>
          <w:tcPr>
            <w:tcW w:w="4622" w:type="dxa"/>
            <w:shd w:val="clear" w:color="auto" w:fill="E7E6E6" w:themeFill="background2"/>
            <w:noWrap/>
          </w:tcPr>
          <w:p w:rsidR="005C2D29" w:rsidRPr="00856661" w:rsidRDefault="005C2D29" w:rsidP="005651D0">
            <w:pPr>
              <w:rPr>
                <w:rFonts w:ascii="Calibri" w:hAnsi="Calibri" w:cs="Calibri"/>
                <w:color w:val="000000"/>
                <w:lang w:eastAsia="en-AU"/>
              </w:rPr>
            </w:pPr>
            <w:r w:rsidRPr="00856661">
              <w:rPr>
                <w:rFonts w:ascii="Calibri" w:hAnsi="Calibri" w:cs="Calibri"/>
                <w:color w:val="000000"/>
                <w:lang w:eastAsia="en-AU"/>
              </w:rPr>
              <w:t>improve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adverse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bad, unwanted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advise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tell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allocated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 xml:space="preserve">put in to </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approximately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about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alleviate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ease, reduce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allocate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share, add, give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alternative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choice, other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ameliorate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improve, help</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amendment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change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annual</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once a year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anticipate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expect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appropriate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right, suitable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ascertain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find 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associated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 xml:space="preserve">linked to </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attempt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try</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attend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come to, go to, be at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authorise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allow, let</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beneficial</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helpful, useful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biannual</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twice a year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lastRenderedPageBreak/>
              <w:t>biased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not true and correct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biennial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every 2 years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biweekly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twice a week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breach</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break</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cease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stop</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coincidence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at the same time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commence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start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complete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fill in</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consequently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so</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convalesce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get better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corroborate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confirm, check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communicate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talk, write, telephone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compile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make, collect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completion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end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comprise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make up, include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compulsory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you must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conclusion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end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considerable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great, important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consult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talk to, meet, ask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correspond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write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customary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usual, normal</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decline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worsening of</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defective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faulty</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deficiency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lack of</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deleterious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harmful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demonstrate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shown</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lastRenderedPageBreak/>
              <w:t>deteriorates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gets worse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determine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decide, work 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detrimental</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harmful, damaging</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diminish</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lessen, reduce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disclose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tell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discontinue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stop, end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discuss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talk about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documentation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papers, documents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duration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time, life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eligible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 xml:space="preserve">able to </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enclosed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inside, with</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enquire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ask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ensure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make sure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equivalent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equal, the same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evaluate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test, check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excessive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too much, too many</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exclude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leave 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expire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run out</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facilitate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help, make possible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factor</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reason</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finalise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end, finish</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following</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after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for the duration of</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during, while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for the purpose of</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to, for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frequently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often</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lastRenderedPageBreak/>
              <w:t>gauge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assess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generate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produce, give, make</w:t>
            </w:r>
          </w:p>
        </w:tc>
      </w:tr>
      <w:tr w:rsidR="005C2D29" w:rsidRPr="005651D0" w:rsidTr="00856661">
        <w:trPr>
          <w:trHeight w:val="300"/>
        </w:trPr>
        <w:tc>
          <w:tcPr>
            <w:tcW w:w="4621" w:type="dxa"/>
            <w:shd w:val="clear" w:color="auto" w:fill="E7E6E6" w:themeFill="background2"/>
            <w:noWrap/>
          </w:tcPr>
          <w:p w:rsidR="005C2D29" w:rsidRPr="005651D0" w:rsidRDefault="005C2D29" w:rsidP="005651D0">
            <w:pPr>
              <w:rPr>
                <w:rFonts w:ascii="Calibri" w:hAnsi="Calibri" w:cs="Calibri"/>
                <w:b/>
                <w:color w:val="000000"/>
                <w:lang w:eastAsia="en-AU"/>
              </w:rPr>
            </w:pPr>
            <w:r>
              <w:rPr>
                <w:rFonts w:ascii="Calibri" w:hAnsi="Calibri" w:cs="Calibri"/>
                <w:b/>
                <w:color w:val="000000"/>
                <w:lang w:eastAsia="en-AU"/>
              </w:rPr>
              <w:t>genetic</w:t>
            </w:r>
          </w:p>
        </w:tc>
        <w:tc>
          <w:tcPr>
            <w:tcW w:w="4622" w:type="dxa"/>
            <w:shd w:val="clear" w:color="auto" w:fill="E7E6E6" w:themeFill="background2"/>
            <w:noWrap/>
          </w:tcPr>
          <w:p w:rsidR="005C2D29" w:rsidRPr="00856661" w:rsidRDefault="005C2D29" w:rsidP="005651D0">
            <w:pPr>
              <w:rPr>
                <w:rFonts w:cstheme="minorHAnsi"/>
                <w:lang w:eastAsia="en-AU"/>
              </w:rPr>
            </w:pPr>
            <w:r w:rsidRPr="00856661">
              <w:rPr>
                <w:rFonts w:cstheme="minorHAnsi"/>
                <w:lang w:eastAsia="en-AU"/>
              </w:rPr>
              <w:t>markers in the blood</w:t>
            </w:r>
            <w:r>
              <w:rPr>
                <w:rFonts w:cstheme="minorHAnsi"/>
                <w:lang w:eastAsia="en-AU"/>
              </w:rPr>
              <w:t xml:space="preserve"> (if applicable saliva/tissue)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hereby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now, by this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herein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here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herewith</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with this</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immediately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at once, now</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implement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carry out, do</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 case of</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if</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 addition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and, as well as, now</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 conjunction with</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and, with</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 lieu of</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instead of</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 the absence of</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without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inappropriate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wrong, unsuitable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inception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start, beginning</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incorporating</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which includes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incurred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have to pay, owe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inform</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tell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initially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at first</w:t>
            </w:r>
          </w:p>
        </w:tc>
      </w:tr>
      <w:tr w:rsidR="005C2D29" w:rsidRPr="005651D0" w:rsidTr="00856661">
        <w:trPr>
          <w:trHeight w:val="300"/>
        </w:trPr>
        <w:tc>
          <w:tcPr>
            <w:tcW w:w="4621" w:type="dxa"/>
            <w:shd w:val="clear" w:color="auto" w:fill="E7E6E6" w:themeFill="background2"/>
            <w:noWrap/>
          </w:tcPr>
          <w:p w:rsidR="005C2D29" w:rsidRPr="005651D0" w:rsidRDefault="005C2D29" w:rsidP="005651D0">
            <w:pPr>
              <w:rPr>
                <w:rFonts w:ascii="Calibri" w:hAnsi="Calibri" w:cs="Calibri"/>
                <w:b/>
                <w:color w:val="000000"/>
                <w:lang w:eastAsia="en-AU"/>
              </w:rPr>
            </w:pPr>
            <w:r>
              <w:rPr>
                <w:rFonts w:ascii="Calibri" w:hAnsi="Calibri" w:cs="Calibri"/>
                <w:b/>
                <w:color w:val="000000"/>
                <w:lang w:eastAsia="en-AU"/>
              </w:rPr>
              <w:t>investigate</w:t>
            </w:r>
          </w:p>
        </w:tc>
        <w:tc>
          <w:tcPr>
            <w:tcW w:w="4622" w:type="dxa"/>
            <w:shd w:val="clear" w:color="auto" w:fill="E7E6E6" w:themeFill="background2"/>
            <w:noWrap/>
          </w:tcPr>
          <w:p w:rsidR="005C2D29" w:rsidRPr="005651D0" w:rsidRDefault="005C2D29" w:rsidP="005651D0">
            <w:pPr>
              <w:rPr>
                <w:rFonts w:ascii="Calibri" w:hAnsi="Calibri" w:cs="Calibri"/>
                <w:color w:val="000000"/>
                <w:lang w:eastAsia="en-AU"/>
              </w:rPr>
            </w:pPr>
            <w:r>
              <w:rPr>
                <w:rFonts w:ascii="Calibri" w:hAnsi="Calibri" w:cs="Calibri"/>
                <w:color w:val="000000"/>
                <w:lang w:eastAsia="en-AU"/>
              </w:rPr>
              <w:t>look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irrespective of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despite, even if</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jeopardise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risk, threaten</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locate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find, put</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lastRenderedPageBreak/>
              <w:t>manner</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way</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marginal</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small, slight</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negligible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very small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notify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tell, let you know</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numerous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many</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objective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aim, goal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obtain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get, receive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onset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beginning, start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opt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choose, pick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on behalf of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for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on request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if you ask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optimum</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best, ideal</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option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choice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participate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join in, take oart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particulars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details, facts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periodically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regularly</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persons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person</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prior to</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before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preserve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keep, protect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previous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earlier, before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proceed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go ahead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projected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estimated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prolonged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long</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proximity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closeness, nearness</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query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questions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lastRenderedPageBreak/>
              <w:t>quantity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amount</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regarding</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about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reimburse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pay back</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relevant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related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reconsider</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think again about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regulation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rule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relating to</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about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requirements</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needs, rules</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restriction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limit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revised</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new, changed</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scope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range</w:t>
            </w:r>
          </w:p>
        </w:tc>
      </w:tr>
      <w:tr w:rsidR="005C2D29" w:rsidRPr="005651D0" w:rsidTr="00856661">
        <w:trPr>
          <w:trHeight w:val="300"/>
        </w:trPr>
        <w:tc>
          <w:tcPr>
            <w:tcW w:w="4621" w:type="dxa"/>
            <w:shd w:val="clear" w:color="auto" w:fill="E7E6E6" w:themeFill="background2"/>
            <w:noWrap/>
          </w:tcPr>
          <w:p w:rsidR="005C2D29" w:rsidRPr="005651D0" w:rsidRDefault="005C2D29" w:rsidP="005651D0">
            <w:pPr>
              <w:rPr>
                <w:rFonts w:ascii="Calibri" w:hAnsi="Calibri" w:cs="Calibri"/>
                <w:b/>
                <w:color w:val="000000"/>
                <w:lang w:eastAsia="en-AU"/>
              </w:rPr>
            </w:pPr>
            <w:r>
              <w:rPr>
                <w:rFonts w:ascii="Calibri" w:hAnsi="Calibri" w:cs="Calibri"/>
                <w:b/>
                <w:color w:val="000000"/>
                <w:lang w:eastAsia="en-AU"/>
              </w:rPr>
              <w:t>subject</w:t>
            </w:r>
          </w:p>
        </w:tc>
        <w:tc>
          <w:tcPr>
            <w:tcW w:w="4622" w:type="dxa"/>
            <w:shd w:val="clear" w:color="auto" w:fill="E7E6E6" w:themeFill="background2"/>
            <w:noWrap/>
          </w:tcPr>
          <w:p w:rsidR="005C2D29" w:rsidRPr="005651D0" w:rsidRDefault="005C2D29" w:rsidP="005651D0">
            <w:pPr>
              <w:rPr>
                <w:rFonts w:ascii="Calibri" w:hAnsi="Calibri" w:cs="Calibri"/>
                <w:color w:val="000000"/>
                <w:lang w:eastAsia="en-AU"/>
              </w:rPr>
            </w:pPr>
            <w:r>
              <w:rPr>
                <w:rFonts w:ascii="Calibri" w:hAnsi="Calibri" w:cs="Calibri"/>
                <w:color w:val="000000"/>
                <w:lang w:eastAsia="en-AU"/>
              </w:rPr>
              <w:t>participant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subsequently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following, after</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surname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last name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thereof</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that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technique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method, procedure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terminate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end</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thereby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by that, because of that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therein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in that, there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undergo</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have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undertake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agree, promise, do</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utilisation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use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utilise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use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lastRenderedPageBreak/>
              <w:t>variation</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change</w:t>
            </w:r>
          </w:p>
        </w:tc>
      </w:tr>
      <w:tr w:rsidR="005C2D29" w:rsidRPr="005651D0" w:rsidTr="00856661">
        <w:trPr>
          <w:trHeight w:val="300"/>
        </w:trPr>
        <w:tc>
          <w:tcPr>
            <w:tcW w:w="4621" w:type="dxa"/>
            <w:shd w:val="clear" w:color="auto" w:fill="AEAAAA" w:themeFill="background2" w:themeFillShade="BF"/>
            <w:noWrap/>
            <w:hideMark/>
          </w:tcPr>
          <w:p w:rsidR="005C2D29" w:rsidRPr="005651D0" w:rsidRDefault="005C2D29" w:rsidP="005651D0">
            <w:pPr>
              <w:rPr>
                <w:rFonts w:ascii="Calibri" w:hAnsi="Calibri" w:cs="Calibri"/>
                <w:b/>
                <w:color w:val="000000"/>
                <w:lang w:eastAsia="en-AU"/>
              </w:rPr>
            </w:pPr>
          </w:p>
        </w:tc>
        <w:tc>
          <w:tcPr>
            <w:tcW w:w="4622" w:type="dxa"/>
            <w:shd w:val="clear" w:color="auto" w:fill="AEAAAA" w:themeFill="background2" w:themeFillShade="BF"/>
            <w:noWrap/>
            <w:hideMark/>
          </w:tcPr>
          <w:p w:rsidR="005C2D29" w:rsidRPr="005651D0" w:rsidRDefault="005C2D29" w:rsidP="005651D0">
            <w:pPr>
              <w:rPr>
                <w:rFonts w:ascii="Times New Roman" w:hAnsi="Times New Roman" w:cs="Times New Roman"/>
                <w:sz w:val="20"/>
                <w:szCs w:val="20"/>
                <w:lang w:eastAsia="en-AU"/>
              </w:rPr>
            </w:pP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waive</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give up a right</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whilst</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while</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whereby</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by which</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 xml:space="preserve">with effect from </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from</w:t>
            </w:r>
          </w:p>
        </w:tc>
      </w:tr>
      <w:tr w:rsidR="005C2D29" w:rsidRPr="005651D0" w:rsidTr="00856661">
        <w:trPr>
          <w:trHeight w:val="300"/>
        </w:trPr>
        <w:tc>
          <w:tcPr>
            <w:tcW w:w="4621" w:type="dxa"/>
            <w:shd w:val="clear" w:color="auto" w:fill="E7E6E6" w:themeFill="background2"/>
            <w:noWrap/>
            <w:hideMark/>
          </w:tcPr>
          <w:p w:rsidR="005C2D29" w:rsidRPr="005651D0" w:rsidRDefault="005C2D29" w:rsidP="005651D0">
            <w:pPr>
              <w:rPr>
                <w:rFonts w:ascii="Calibri" w:hAnsi="Calibri" w:cs="Calibri"/>
                <w:b/>
                <w:color w:val="000000"/>
                <w:lang w:eastAsia="en-AU"/>
              </w:rPr>
            </w:pPr>
            <w:r w:rsidRPr="005651D0">
              <w:rPr>
                <w:rFonts w:ascii="Calibri" w:hAnsi="Calibri" w:cs="Calibri"/>
                <w:b/>
                <w:color w:val="000000"/>
                <w:lang w:eastAsia="en-AU"/>
              </w:rPr>
              <w:t>with regard to</w:t>
            </w:r>
          </w:p>
        </w:tc>
        <w:tc>
          <w:tcPr>
            <w:tcW w:w="4622" w:type="dxa"/>
            <w:shd w:val="clear" w:color="auto" w:fill="E7E6E6" w:themeFill="background2"/>
            <w:noWrap/>
            <w:hideMark/>
          </w:tcPr>
          <w:p w:rsidR="005C2D29" w:rsidRPr="005651D0" w:rsidRDefault="005C2D29" w:rsidP="005651D0">
            <w:pPr>
              <w:rPr>
                <w:rFonts w:ascii="Calibri" w:hAnsi="Calibri" w:cs="Calibri"/>
                <w:color w:val="000000"/>
                <w:lang w:eastAsia="en-AU"/>
              </w:rPr>
            </w:pPr>
            <w:r w:rsidRPr="005651D0">
              <w:rPr>
                <w:rFonts w:ascii="Calibri" w:hAnsi="Calibri" w:cs="Calibri"/>
                <w:color w:val="000000"/>
                <w:lang w:eastAsia="en-AU"/>
              </w:rPr>
              <w:t>about, for</w:t>
            </w:r>
          </w:p>
        </w:tc>
      </w:tr>
    </w:tbl>
    <w:p w:rsidR="005C2D29" w:rsidRPr="00A527D5" w:rsidRDefault="005C2D29" w:rsidP="00A527D5"/>
    <w:p w:rsidR="00861B70" w:rsidRPr="00A527D5" w:rsidRDefault="00861B70" w:rsidP="00A527D5">
      <w:pPr>
        <w:rPr>
          <w:rFonts w:ascii="Arial" w:hAnsi="Arial" w:cs="Arial"/>
          <w:sz w:val="20"/>
          <w:szCs w:val="20"/>
        </w:rPr>
      </w:pPr>
    </w:p>
    <w:p w:rsidR="00861B70" w:rsidRPr="00861B70" w:rsidRDefault="00861B70" w:rsidP="00861B70">
      <w:pPr>
        <w:rPr>
          <w:b/>
        </w:rPr>
      </w:pPr>
      <w:r w:rsidRPr="00861B70">
        <w:rPr>
          <w:b/>
        </w:rPr>
        <w:t>Resources</w:t>
      </w:r>
    </w:p>
    <w:p w:rsidR="00861B70" w:rsidRPr="00861B70" w:rsidRDefault="00861B70" w:rsidP="00861B70">
      <w:pPr>
        <w:numPr>
          <w:ilvl w:val="0"/>
          <w:numId w:val="1"/>
        </w:numPr>
      </w:pPr>
      <w:r w:rsidRPr="00861B70">
        <w:t xml:space="preserve">Australian Bureau of Statistics website </w:t>
      </w:r>
      <w:hyperlink r:id="rId8" w:history="1">
        <w:r w:rsidRPr="00861B70">
          <w:rPr>
            <w:rStyle w:val="Hyperlink"/>
          </w:rPr>
          <w:t>www.abs.gov.au</w:t>
        </w:r>
      </w:hyperlink>
    </w:p>
    <w:p w:rsidR="00861B70" w:rsidRPr="00861B70" w:rsidRDefault="00861B70" w:rsidP="00861B70">
      <w:pPr>
        <w:numPr>
          <w:ilvl w:val="0"/>
          <w:numId w:val="1"/>
        </w:numPr>
      </w:pPr>
      <w:r w:rsidRPr="00861B70">
        <w:t xml:space="preserve">Collins Dictionary website </w:t>
      </w:r>
      <w:hyperlink r:id="rId9" w:history="1">
        <w:r w:rsidRPr="00861B70">
          <w:rPr>
            <w:rStyle w:val="Hyperlink"/>
          </w:rPr>
          <w:t>www.collinsdictionary.com</w:t>
        </w:r>
      </w:hyperlink>
      <w:r w:rsidRPr="00861B70">
        <w:t xml:space="preserve"> </w:t>
      </w:r>
    </w:p>
    <w:p w:rsidR="00861B70" w:rsidRDefault="00861B70" w:rsidP="00861B70">
      <w:pPr>
        <w:numPr>
          <w:ilvl w:val="0"/>
          <w:numId w:val="1"/>
        </w:numPr>
      </w:pPr>
      <w:r w:rsidRPr="00861B70">
        <w:t xml:space="preserve">National PICF - Participant Information and Consent Form – User Guide November 2016: </w:t>
      </w:r>
      <w:hyperlink r:id="rId10" w:history="1">
        <w:r w:rsidRPr="00861B70">
          <w:rPr>
            <w:rStyle w:val="Hyperlink"/>
          </w:rPr>
          <w:t>https://www.nationalpicf.com.au/files/National%20PICF%20-%20Participant%20Information%20and%20Consent%20Form%20%E2%80%93%20User%20Guide%20-%20November%202016%20.pdf</w:t>
        </w:r>
      </w:hyperlink>
    </w:p>
    <w:p w:rsidR="00861B70" w:rsidRPr="00861B70" w:rsidRDefault="00861B70" w:rsidP="00861B70">
      <w:pPr>
        <w:numPr>
          <w:ilvl w:val="0"/>
          <w:numId w:val="1"/>
        </w:numPr>
      </w:pPr>
    </w:p>
    <w:p w:rsidR="00861B70" w:rsidRDefault="00861B70" w:rsidP="00861B70">
      <w:pPr>
        <w:rPr>
          <w:rStyle w:val="Hyperlink"/>
          <w:rFonts w:ascii="Arial" w:hAnsi="Arial" w:cs="Arial"/>
          <w:sz w:val="20"/>
          <w:szCs w:val="20"/>
        </w:rPr>
      </w:pPr>
      <w:r w:rsidRPr="00A527D5">
        <w:rPr>
          <w:rFonts w:ascii="Arial" w:hAnsi="Arial" w:cs="Arial"/>
          <w:sz w:val="20"/>
          <w:szCs w:val="20"/>
        </w:rPr>
        <w:tab/>
      </w:r>
      <w:hyperlink r:id="rId11" w:history="1">
        <w:r w:rsidRPr="00A527D5">
          <w:rPr>
            <w:rStyle w:val="Hyperlink"/>
            <w:rFonts w:ascii="Arial" w:hAnsi="Arial" w:cs="Arial"/>
            <w:sz w:val="20"/>
            <w:szCs w:val="20"/>
          </w:rPr>
          <w:t>www.plainenglish.co.uk</w:t>
        </w:r>
      </w:hyperlink>
    </w:p>
    <w:p w:rsidR="005C2D29" w:rsidRPr="00A527D5" w:rsidRDefault="005C2D29" w:rsidP="00A527D5"/>
    <w:p w:rsidR="005C2D29" w:rsidRDefault="005C2D29" w:rsidP="00AC4EF4">
      <w:pPr>
        <w:pStyle w:val="ListParagraph"/>
      </w:pPr>
    </w:p>
    <w:sectPr w:rsidR="005C2D29" w:rsidSect="00EC2AF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C6610"/>
    <w:multiLevelType w:val="hybridMultilevel"/>
    <w:tmpl w:val="943A04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9F3"/>
    <w:rsid w:val="000F5CCF"/>
    <w:rsid w:val="000F7766"/>
    <w:rsid w:val="00173374"/>
    <w:rsid w:val="003B48A2"/>
    <w:rsid w:val="004B1FE9"/>
    <w:rsid w:val="005237D5"/>
    <w:rsid w:val="005C2D29"/>
    <w:rsid w:val="00634A5F"/>
    <w:rsid w:val="00861B70"/>
    <w:rsid w:val="00AC4EF4"/>
    <w:rsid w:val="00C31AD2"/>
    <w:rsid w:val="00D869F3"/>
    <w:rsid w:val="00E454FA"/>
    <w:rsid w:val="00EC2A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37A08-19A9-44DD-9AF5-4B4D2BD5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AF4"/>
    <w:pPr>
      <w:ind w:left="720"/>
      <w:contextualSpacing/>
    </w:pPr>
  </w:style>
  <w:style w:type="character" w:styleId="Hyperlink">
    <w:name w:val="Hyperlink"/>
    <w:basedOn w:val="DefaultParagraphFont"/>
    <w:uiPriority w:val="99"/>
    <w:unhideWhenUsed/>
    <w:rsid w:val="00EC2AF4"/>
    <w:rPr>
      <w:color w:val="0563C1" w:themeColor="hyperlink"/>
      <w:u w:val="single"/>
    </w:rPr>
  </w:style>
  <w:style w:type="paragraph" w:styleId="BalloonText">
    <w:name w:val="Balloon Text"/>
    <w:basedOn w:val="Normal"/>
    <w:link w:val="BalloonTextChar"/>
    <w:uiPriority w:val="99"/>
    <w:semiHidden/>
    <w:unhideWhenUsed/>
    <w:rsid w:val="00EC2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A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s.gov.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pport.microsoft.com/en-us/office/get-your-document-s-readability-and-level-statistics-85b4969e-e80a-4777-8dd3-f7fc3c8b3fd2" TargetMode="External"/><Relationship Id="rId11" Type="http://schemas.openxmlformats.org/officeDocument/2006/relationships/hyperlink" Target="http://www.plainenglish.co.uk" TargetMode="External"/><Relationship Id="rId5" Type="http://schemas.openxmlformats.org/officeDocument/2006/relationships/image" Target="media/image1.png"/><Relationship Id="rId10" Type="http://schemas.openxmlformats.org/officeDocument/2006/relationships/hyperlink" Target="https://www.nationalpicf.com.au/files/National%20PICF%20-%20Participant%20Information%20and%20Consent%20Form%20%E2%80%93%20User%20Guide%20-%20November%202016%20.pdf" TargetMode="External"/><Relationship Id="rId4" Type="http://schemas.openxmlformats.org/officeDocument/2006/relationships/webSettings" Target="webSettings.xml"/><Relationship Id="rId9" Type="http://schemas.openxmlformats.org/officeDocument/2006/relationships/hyperlink" Target="http://www.collinsdictionar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Estelle Ali </cp:lastModifiedBy>
  <cp:revision>4</cp:revision>
  <cp:lastPrinted>2021-01-20T02:32:00Z</cp:lastPrinted>
  <dcterms:created xsi:type="dcterms:W3CDTF">2021-01-20T02:31:00Z</dcterms:created>
  <dcterms:modified xsi:type="dcterms:W3CDTF">2021-01-20T07:04:00Z</dcterms:modified>
</cp:coreProperties>
</file>